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06575">
      <w:pPr>
        <w:snapToGrid w:val="0"/>
        <w:spacing w:before="100" w:beforeAutospacing="1" w:after="100" w:afterAutospacing="1" w:line="560" w:lineRule="exact"/>
        <w:contextualSpacing/>
        <w:jc w:val="center"/>
        <w:rPr>
          <w:rFonts w:hint="default" w:ascii="方正小标宋简体" w:eastAsia="方正小标宋简体"/>
          <w:sz w:val="44"/>
          <w:szCs w:val="44"/>
          <w:lang w:val="en-US" w:eastAsia="zh-CN"/>
        </w:rPr>
      </w:pPr>
      <w:r>
        <w:rPr>
          <w:rFonts w:hint="eastAsia" w:ascii="方正小标宋简体" w:eastAsia="方正小标宋简体"/>
          <w:sz w:val="44"/>
          <w:szCs w:val="44"/>
          <w:lang w:val="en-US" w:eastAsia="zh-CN"/>
        </w:rPr>
        <w:t>北京市第八中学</w:t>
      </w:r>
    </w:p>
    <w:p w14:paraId="5982AFC1">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2025年部门预算情况说明</w:t>
      </w:r>
    </w:p>
    <w:p w14:paraId="059D7055">
      <w:pPr>
        <w:snapToGrid w:val="0"/>
        <w:spacing w:before="100" w:beforeAutospacing="1" w:after="100" w:afterAutospacing="1" w:line="560" w:lineRule="exact"/>
        <w:contextualSpacing/>
        <w:rPr>
          <w:rFonts w:ascii="仿宋_GB2312" w:eastAsia="仿宋_GB2312"/>
          <w:b/>
          <w:sz w:val="44"/>
          <w:szCs w:val="44"/>
        </w:rPr>
      </w:pPr>
    </w:p>
    <w:p w14:paraId="03EB31F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0E896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2D93FA7F">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北京市第八中学实施“三线两全”的管理体制机制，即党组织的引领保障线、行政的统筹实现线、工会的监督评议线，实施全过程管理、全方位评价。学校实施扁平化管理，设置</w:t>
      </w:r>
      <w:r>
        <w:rPr>
          <w:rFonts w:hint="eastAsia" w:ascii="仿宋_GB2312" w:eastAsia="仿宋_GB2312"/>
          <w:color w:val="000000"/>
          <w:sz w:val="32"/>
          <w:szCs w:val="32"/>
          <w:lang w:val="en-US" w:eastAsia="zh-CN"/>
        </w:rPr>
        <w:t>七</w:t>
      </w:r>
      <w:r>
        <w:rPr>
          <w:rFonts w:hint="eastAsia" w:ascii="仿宋_GB2312" w:eastAsia="仿宋_GB2312"/>
          <w:color w:val="000000"/>
          <w:sz w:val="32"/>
          <w:szCs w:val="32"/>
        </w:rPr>
        <w:t>个中心，即学生发展指导评价中心、教学指导评价中心、学校发展保障中心、超常教育创新实践中心、国际化教育中心、</w:t>
      </w:r>
      <w:r>
        <w:rPr>
          <w:rFonts w:hint="eastAsia" w:ascii="仿宋_GB2312" w:eastAsia="仿宋_GB2312"/>
          <w:color w:val="000000"/>
          <w:sz w:val="32"/>
          <w:szCs w:val="32"/>
          <w:lang w:val="en-US" w:eastAsia="zh-CN"/>
        </w:rPr>
        <w:t>课程教科研中心</w:t>
      </w:r>
      <w:r>
        <w:rPr>
          <w:rFonts w:hint="eastAsia" w:ascii="仿宋_GB2312" w:eastAsia="仿宋_GB2312"/>
          <w:color w:val="000000"/>
          <w:sz w:val="32"/>
          <w:szCs w:val="32"/>
          <w:lang w:eastAsia="zh-CN"/>
        </w:rPr>
        <w:t>、</w:t>
      </w:r>
      <w:r>
        <w:rPr>
          <w:rFonts w:hint="eastAsia" w:ascii="仿宋_GB2312" w:eastAsia="仿宋_GB2312"/>
          <w:color w:val="000000"/>
          <w:sz w:val="32"/>
          <w:szCs w:val="32"/>
        </w:rPr>
        <w:t>合作办学中心，各中心下设各处室。具体工作职责如下：</w:t>
      </w:r>
    </w:p>
    <w:p w14:paraId="20FDB879">
      <w:pPr>
        <w:pStyle w:val="8"/>
        <w:numPr>
          <w:ilvl w:val="0"/>
          <w:numId w:val="1"/>
        </w:numPr>
        <w:adjustRightInd w:val="0"/>
        <w:snapToGrid w:val="0"/>
        <w:spacing w:line="560" w:lineRule="exact"/>
        <w:ind w:firstLineChars="0"/>
        <w:rPr>
          <w:rFonts w:ascii="仿宋_GB2312" w:eastAsia="仿宋_GB2312"/>
          <w:color w:val="000000"/>
          <w:sz w:val="32"/>
          <w:szCs w:val="32"/>
        </w:rPr>
      </w:pPr>
      <w:r>
        <w:rPr>
          <w:rFonts w:hint="eastAsia" w:ascii="仿宋_GB2312" w:eastAsia="仿宋_GB2312"/>
          <w:color w:val="000000"/>
          <w:sz w:val="32"/>
          <w:szCs w:val="32"/>
        </w:rPr>
        <w:t xml:space="preserve"> 党委：全面指导、监督学校的各项工作。</w:t>
      </w:r>
    </w:p>
    <w:p w14:paraId="409AC7BC">
      <w:pPr>
        <w:pStyle w:val="8"/>
        <w:numPr>
          <w:ilvl w:val="0"/>
          <w:numId w:val="1"/>
        </w:numPr>
        <w:ind w:left="0" w:firstLine="709" w:firstLineChars="0"/>
        <w:rPr>
          <w:rFonts w:ascii="仿宋_GB2312" w:eastAsia="仿宋_GB2312"/>
          <w:color w:val="000000"/>
          <w:sz w:val="32"/>
          <w:szCs w:val="32"/>
        </w:rPr>
      </w:pPr>
      <w:r>
        <w:rPr>
          <w:rFonts w:hint="eastAsia" w:ascii="仿宋_GB2312" w:eastAsia="仿宋_GB2312"/>
          <w:color w:val="000000"/>
          <w:sz w:val="32"/>
          <w:szCs w:val="32"/>
        </w:rPr>
        <w:t>党政办公室：在书记、校长领导下，管理学校日常事务、协调各部门工作、制定学校规章制度，并督促、检查制度的贯彻执行；组织设计和完善学校的组织结构，做好定岗定编，合理有效配置人力资源。负责学校人事、外联、档案、离退休等组织工作。</w:t>
      </w:r>
    </w:p>
    <w:p w14:paraId="0CED3F9B">
      <w:pPr>
        <w:adjustRightInd w:val="0"/>
        <w:snapToGrid w:val="0"/>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3.</w:t>
      </w:r>
      <w:r>
        <w:rPr>
          <w:rFonts w:hint="eastAsia"/>
        </w:rPr>
        <w:t xml:space="preserve"> </w:t>
      </w:r>
      <w:r>
        <w:rPr>
          <w:rFonts w:hint="eastAsia" w:ascii="仿宋_GB2312" w:eastAsia="仿宋_GB2312"/>
          <w:color w:val="000000"/>
          <w:sz w:val="32"/>
          <w:szCs w:val="32"/>
        </w:rPr>
        <w:t>教学指导评价中心：主要负责全校教学常规工作和教科研工作，促进教学质量的提高；促进教师教学水平的提高。</w:t>
      </w:r>
    </w:p>
    <w:p w14:paraId="04ADDBA7">
      <w:pPr>
        <w:adjustRightInd w:val="0"/>
        <w:snapToGrid w:val="0"/>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4</w:t>
      </w:r>
      <w:r>
        <w:rPr>
          <w:rFonts w:hint="eastAsia" w:ascii="仿宋_GB2312" w:eastAsia="仿宋_GB2312"/>
          <w:color w:val="000000"/>
          <w:sz w:val="32"/>
          <w:szCs w:val="32"/>
        </w:rPr>
        <w:t>.</w:t>
      </w:r>
      <w:r>
        <w:rPr>
          <w:rFonts w:hint="eastAsia"/>
        </w:rPr>
        <w:t xml:space="preserve"> </w:t>
      </w:r>
      <w:r>
        <w:rPr>
          <w:rFonts w:hint="eastAsia" w:ascii="仿宋_GB2312" w:eastAsia="仿宋_GB2312"/>
          <w:color w:val="000000"/>
          <w:sz w:val="32"/>
          <w:szCs w:val="32"/>
        </w:rPr>
        <w:t>学生发展指导评价中心：主要是负责学生德育教育的</w:t>
      </w:r>
      <w:r>
        <w:rPr>
          <w:rFonts w:ascii="仿宋_GB2312" w:eastAsia="仿宋_GB2312"/>
          <w:color w:val="000000"/>
          <w:sz w:val="32"/>
          <w:szCs w:val="32"/>
        </w:rPr>
        <w:t>部门</w:t>
      </w:r>
      <w:r>
        <w:rPr>
          <w:rFonts w:hint="eastAsia" w:ascii="仿宋_GB2312" w:eastAsia="仿宋_GB2312"/>
          <w:color w:val="000000"/>
          <w:sz w:val="32"/>
          <w:szCs w:val="32"/>
        </w:rPr>
        <w:t>，完成学校的各项德育工作任务。确保学生全面素质的提高，起好导向和保证作用。</w:t>
      </w:r>
    </w:p>
    <w:p w14:paraId="1CD04DF1">
      <w:pPr>
        <w:adjustRightInd w:val="0"/>
        <w:snapToGrid w:val="0"/>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5</w:t>
      </w:r>
      <w:r>
        <w:rPr>
          <w:rFonts w:hint="eastAsia" w:ascii="仿宋_GB2312" w:eastAsia="仿宋_GB2312"/>
          <w:color w:val="000000"/>
          <w:sz w:val="32"/>
          <w:szCs w:val="32"/>
        </w:rPr>
        <w:t>.</w:t>
      </w:r>
      <w:r>
        <w:rPr>
          <w:rFonts w:hint="eastAsia"/>
        </w:rPr>
        <w:t xml:space="preserve"> </w:t>
      </w:r>
      <w:r>
        <w:rPr>
          <w:rFonts w:hint="eastAsia" w:ascii="仿宋_GB2312" w:eastAsia="仿宋_GB2312"/>
          <w:color w:val="000000"/>
          <w:sz w:val="32"/>
          <w:szCs w:val="32"/>
        </w:rPr>
        <w:t>发展保障中心：保障学校的教学、教育工作正常开展，服务于师生，保障校园平安，做好安防工作；做好教职工及学生用餐工作；学校财务核算工作；保障学校设备设施正常运行；指导监督物业公司做好疫情防控工作，搞好环境卫生，美化校园绿化等工作。</w:t>
      </w:r>
    </w:p>
    <w:p w14:paraId="7E4AD9D5">
      <w:pPr>
        <w:adjustRightInd w:val="0"/>
        <w:snapToGrid w:val="0"/>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6.</w:t>
      </w:r>
      <w:r>
        <w:rPr>
          <w:rFonts w:hint="eastAsia"/>
        </w:rPr>
        <w:t xml:space="preserve"> </w:t>
      </w:r>
      <w:r>
        <w:rPr>
          <w:rFonts w:hint="eastAsia" w:ascii="仿宋_GB2312" w:eastAsia="仿宋_GB2312"/>
          <w:color w:val="000000"/>
          <w:sz w:val="32"/>
          <w:szCs w:val="32"/>
        </w:rPr>
        <w:t>超常教育创新实践中心：</w:t>
      </w:r>
      <w:r>
        <w:rPr>
          <w:rFonts w:ascii="仿宋_GB2312" w:eastAsia="仿宋_GB2312"/>
          <w:color w:val="000000"/>
          <w:sz w:val="32"/>
          <w:szCs w:val="32"/>
        </w:rPr>
        <w:t>负责超创中心招生及</w:t>
      </w:r>
      <w:r>
        <w:rPr>
          <w:rFonts w:hint="eastAsia" w:ascii="仿宋_GB2312" w:eastAsia="仿宋_GB2312"/>
          <w:color w:val="000000"/>
          <w:sz w:val="32"/>
          <w:szCs w:val="32"/>
        </w:rPr>
        <w:t>常规的教育教学工作。</w:t>
      </w:r>
    </w:p>
    <w:p w14:paraId="1893C4EE">
      <w:pPr>
        <w:adjustRightInd w:val="0"/>
        <w:snapToGrid w:val="0"/>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7</w:t>
      </w:r>
      <w:r>
        <w:rPr>
          <w:rFonts w:hint="eastAsia" w:ascii="仿宋_GB2312" w:eastAsia="仿宋_GB2312"/>
          <w:color w:val="000000"/>
          <w:sz w:val="32"/>
          <w:szCs w:val="32"/>
        </w:rPr>
        <w:t>.</w:t>
      </w:r>
      <w:r>
        <w:rPr>
          <w:rFonts w:hint="eastAsia"/>
        </w:rPr>
        <w:t xml:space="preserve"> </w:t>
      </w:r>
      <w:r>
        <w:rPr>
          <w:rFonts w:hint="eastAsia" w:ascii="仿宋_GB2312" w:eastAsia="仿宋_GB2312"/>
          <w:color w:val="000000"/>
          <w:sz w:val="32"/>
          <w:szCs w:val="32"/>
        </w:rPr>
        <w:t>国际化教育中心：负责国际</w:t>
      </w:r>
      <w:r>
        <w:rPr>
          <w:rFonts w:ascii="仿宋_GB2312" w:eastAsia="仿宋_GB2312"/>
          <w:color w:val="000000"/>
          <w:sz w:val="32"/>
          <w:szCs w:val="32"/>
        </w:rPr>
        <w:t>部</w:t>
      </w:r>
      <w:r>
        <w:rPr>
          <w:rFonts w:hint="eastAsia" w:ascii="仿宋_GB2312" w:eastAsia="仿宋_GB2312"/>
          <w:color w:val="000000"/>
          <w:sz w:val="32"/>
          <w:szCs w:val="32"/>
        </w:rPr>
        <w:t>教育教学</w:t>
      </w:r>
      <w:r>
        <w:rPr>
          <w:rFonts w:ascii="仿宋_GB2312" w:eastAsia="仿宋_GB2312"/>
          <w:color w:val="000000"/>
          <w:sz w:val="32"/>
          <w:szCs w:val="32"/>
        </w:rPr>
        <w:t>工作</w:t>
      </w:r>
      <w:r>
        <w:rPr>
          <w:rFonts w:hint="eastAsia" w:ascii="仿宋_GB2312" w:eastAsia="仿宋_GB2312"/>
          <w:color w:val="000000"/>
          <w:sz w:val="32"/>
          <w:szCs w:val="32"/>
        </w:rPr>
        <w:t>。</w:t>
      </w:r>
    </w:p>
    <w:p w14:paraId="77F69E5F">
      <w:pPr>
        <w:adjustRightInd w:val="0"/>
        <w:snapToGrid w:val="0"/>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8</w:t>
      </w:r>
      <w:r>
        <w:rPr>
          <w:rFonts w:hint="eastAsia" w:ascii="仿宋_GB2312" w:eastAsia="仿宋_GB2312"/>
          <w:color w:val="000000"/>
          <w:sz w:val="32"/>
          <w:szCs w:val="32"/>
        </w:rPr>
        <w:t>.合作</w:t>
      </w:r>
      <w:r>
        <w:rPr>
          <w:rFonts w:ascii="仿宋_GB2312" w:eastAsia="仿宋_GB2312"/>
          <w:color w:val="000000"/>
          <w:sz w:val="32"/>
          <w:szCs w:val="32"/>
        </w:rPr>
        <w:t>办</w:t>
      </w:r>
      <w:r>
        <w:rPr>
          <w:rFonts w:hint="eastAsia" w:ascii="仿宋_GB2312" w:eastAsia="仿宋_GB2312"/>
          <w:color w:val="000000"/>
          <w:sz w:val="32"/>
          <w:szCs w:val="32"/>
        </w:rPr>
        <w:t>学</w:t>
      </w:r>
      <w:r>
        <w:rPr>
          <w:rFonts w:ascii="仿宋_GB2312" w:eastAsia="仿宋_GB2312"/>
          <w:color w:val="000000"/>
          <w:sz w:val="32"/>
          <w:szCs w:val="32"/>
        </w:rPr>
        <w:t>中心：</w:t>
      </w:r>
      <w:r>
        <w:rPr>
          <w:rFonts w:hint="eastAsia" w:ascii="仿宋_GB2312" w:eastAsia="仿宋_GB2312"/>
          <w:color w:val="000000"/>
          <w:sz w:val="32"/>
          <w:szCs w:val="32"/>
        </w:rPr>
        <w:t>负责学校合作办学学校沟通学习等日常工作，组织合作办学校到校学习等工作。</w:t>
      </w:r>
    </w:p>
    <w:p w14:paraId="4B26A064">
      <w:pPr>
        <w:adjustRightInd w:val="0"/>
        <w:snapToGrid w:val="0"/>
        <w:spacing w:line="560" w:lineRule="exact"/>
        <w:ind w:firstLine="640" w:firstLineChars="200"/>
        <w:rPr>
          <w:rFonts w:hint="eastAsia" w:ascii="仿宋_GB2312" w:eastAsia="仿宋_GB2312"/>
          <w:color w:val="000000"/>
          <w:sz w:val="32"/>
          <w:szCs w:val="32"/>
        </w:rPr>
      </w:pPr>
      <w:r>
        <w:rPr>
          <w:rFonts w:ascii="仿宋_GB2312" w:eastAsia="仿宋_GB2312"/>
          <w:color w:val="000000"/>
          <w:sz w:val="32"/>
          <w:szCs w:val="32"/>
        </w:rPr>
        <w:t>9</w:t>
      </w:r>
      <w:r>
        <w:rPr>
          <w:rFonts w:hint="eastAsia" w:ascii="仿宋_GB2312" w:eastAsia="仿宋_GB2312"/>
          <w:color w:val="000000"/>
          <w:sz w:val="32"/>
          <w:szCs w:val="32"/>
        </w:rPr>
        <w:t>.初中</w:t>
      </w:r>
      <w:r>
        <w:rPr>
          <w:rFonts w:ascii="仿宋_GB2312" w:eastAsia="仿宋_GB2312"/>
          <w:color w:val="000000"/>
          <w:sz w:val="32"/>
          <w:szCs w:val="32"/>
        </w:rPr>
        <w:t>部</w:t>
      </w:r>
      <w:r>
        <w:rPr>
          <w:rFonts w:hint="eastAsia" w:ascii="仿宋_GB2312" w:eastAsia="仿宋_GB2312"/>
          <w:color w:val="000000"/>
          <w:sz w:val="32"/>
          <w:szCs w:val="32"/>
        </w:rPr>
        <w:t>：在学校的整体工作前提下，重点负责义务教育阶段教育教学。</w:t>
      </w:r>
    </w:p>
    <w:p w14:paraId="6208BE6A">
      <w:pPr>
        <w:adjustRightInd w:val="0"/>
        <w:snapToGrid w:val="0"/>
        <w:spacing w:line="560" w:lineRule="exact"/>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lang w:val="en-US" w:eastAsia="zh-CN"/>
        </w:rPr>
        <w:t>10.课程教科研中心：负责学校课程研发。</w:t>
      </w:r>
    </w:p>
    <w:p w14:paraId="23E3FC2A">
      <w:pPr>
        <w:adjustRightInd w:val="0"/>
        <w:snapToGrid w:val="0"/>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1</w:t>
      </w:r>
      <w:r>
        <w:rPr>
          <w:rFonts w:hint="eastAsia" w:ascii="仿宋_GB2312" w:eastAsia="仿宋_GB2312"/>
          <w:color w:val="000000"/>
          <w:sz w:val="32"/>
          <w:szCs w:val="32"/>
          <w:lang w:val="en-US" w:eastAsia="zh-CN"/>
        </w:rPr>
        <w:t>1</w:t>
      </w:r>
      <w:r>
        <w:rPr>
          <w:rFonts w:ascii="仿宋_GB2312" w:eastAsia="仿宋_GB2312"/>
          <w:color w:val="000000"/>
          <w:sz w:val="32"/>
          <w:szCs w:val="32"/>
        </w:rPr>
        <w:t>.</w:t>
      </w:r>
      <w:r>
        <w:rPr>
          <w:rFonts w:hint="eastAsia" w:ascii="仿宋_GB2312" w:eastAsia="仿宋_GB2312"/>
          <w:color w:val="000000"/>
          <w:sz w:val="32"/>
          <w:szCs w:val="32"/>
        </w:rPr>
        <w:t>工</w:t>
      </w:r>
      <w:r>
        <w:rPr>
          <w:rFonts w:ascii="仿宋_GB2312" w:eastAsia="仿宋_GB2312"/>
          <w:color w:val="000000"/>
          <w:sz w:val="32"/>
          <w:szCs w:val="32"/>
        </w:rPr>
        <w:t>会</w:t>
      </w:r>
      <w:r>
        <w:rPr>
          <w:rFonts w:hint="eastAsia" w:ascii="仿宋_GB2312" w:eastAsia="仿宋_GB2312"/>
          <w:color w:val="000000"/>
          <w:sz w:val="32"/>
          <w:szCs w:val="32"/>
        </w:rPr>
        <w:t>：负责教</w:t>
      </w:r>
      <w:r>
        <w:rPr>
          <w:rFonts w:ascii="仿宋_GB2312" w:eastAsia="仿宋_GB2312"/>
          <w:color w:val="000000"/>
          <w:sz w:val="32"/>
          <w:szCs w:val="32"/>
        </w:rPr>
        <w:t>职工</w:t>
      </w:r>
      <w:r>
        <w:rPr>
          <w:rFonts w:hint="eastAsia" w:ascii="仿宋_GB2312" w:eastAsia="仿宋_GB2312"/>
          <w:color w:val="000000"/>
          <w:sz w:val="32"/>
          <w:szCs w:val="32"/>
        </w:rPr>
        <w:t>组织活动、</w:t>
      </w:r>
      <w:r>
        <w:rPr>
          <w:rFonts w:ascii="仿宋_GB2312" w:eastAsia="仿宋_GB2312"/>
          <w:color w:val="000000"/>
          <w:sz w:val="32"/>
          <w:szCs w:val="32"/>
        </w:rPr>
        <w:t>慰问等</w:t>
      </w:r>
      <w:r>
        <w:rPr>
          <w:rFonts w:hint="eastAsia" w:ascii="仿宋_GB2312" w:eastAsia="仿宋_GB2312"/>
          <w:color w:val="000000"/>
          <w:sz w:val="32"/>
          <w:szCs w:val="32"/>
        </w:rPr>
        <w:t>日常工作。</w:t>
      </w:r>
    </w:p>
    <w:p w14:paraId="1EE26F2D">
      <w:pPr>
        <w:adjustRightInd w:val="0"/>
        <w:snapToGrid w:val="0"/>
        <w:spacing w:line="560" w:lineRule="exact"/>
        <w:ind w:firstLine="640" w:firstLineChars="200"/>
        <w:rPr>
          <w:rFonts w:ascii="仿宋" w:hAnsi="仿宋" w:eastAsia="仿宋"/>
          <w:color w:val="000000"/>
          <w:sz w:val="32"/>
          <w:szCs w:val="32"/>
        </w:rPr>
      </w:pPr>
      <w:r>
        <w:rPr>
          <w:rFonts w:hint="eastAsia" w:ascii="仿宋_GB2312" w:eastAsia="仿宋_GB2312"/>
          <w:color w:val="000000"/>
          <w:sz w:val="32"/>
          <w:szCs w:val="32"/>
        </w:rPr>
        <w:t>北京八中作为老牌的市重点和北京市示范性高中，是中学优质教育高地，在保持传统优势的基础上正在加速优质发展，务实传承，求真创新。学校整体办学水平高有特色，教师队伍整体素养好有名师，学生总体成绩优有特长，坚持"着眼于未来、着力于素质"的办学思想，按照"抓好课程建设和课堂质量--实现学生的高水平发展和教师的专业提升--成就学校教育和教育事业"的思路，以课程改革和拔尖创新人才培养为抓手，追求学校新的、更大成就的发展！</w:t>
      </w:r>
    </w:p>
    <w:p w14:paraId="25DC57A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11A95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585</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561</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7</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537</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5112</w:t>
      </w:r>
      <w:r>
        <w:rPr>
          <w:rFonts w:hint="eastAsia" w:ascii="仿宋" w:hAnsi="仿宋" w:eastAsia="仿宋"/>
          <w:color w:val="000000"/>
          <w:sz w:val="32"/>
          <w:szCs w:val="32"/>
        </w:rPr>
        <w:t>人，其中：高中</w:t>
      </w:r>
      <w:r>
        <w:rPr>
          <w:rFonts w:hint="eastAsia" w:ascii="仿宋" w:hAnsi="仿宋" w:eastAsia="仿宋"/>
          <w:color w:val="000000"/>
          <w:sz w:val="32"/>
          <w:szCs w:val="32"/>
          <w:lang w:val="en-US" w:eastAsia="zh-CN"/>
        </w:rPr>
        <w:t>1857</w:t>
      </w:r>
      <w:r>
        <w:rPr>
          <w:rFonts w:hint="eastAsia" w:ascii="仿宋" w:hAnsi="仿宋" w:eastAsia="仿宋"/>
          <w:color w:val="000000"/>
          <w:sz w:val="32"/>
          <w:szCs w:val="32"/>
        </w:rPr>
        <w:t>人，初中</w:t>
      </w:r>
      <w:r>
        <w:rPr>
          <w:rFonts w:hint="eastAsia" w:ascii="仿宋" w:hAnsi="仿宋" w:eastAsia="仿宋"/>
          <w:color w:val="000000"/>
          <w:sz w:val="32"/>
          <w:szCs w:val="32"/>
          <w:lang w:val="en-US" w:eastAsia="zh-CN"/>
        </w:rPr>
        <w:t>3253</w:t>
      </w:r>
      <w:r>
        <w:rPr>
          <w:rFonts w:hint="eastAsia" w:ascii="仿宋" w:hAnsi="仿宋" w:eastAsia="仿宋"/>
          <w:color w:val="000000"/>
          <w:sz w:val="32"/>
          <w:szCs w:val="32"/>
        </w:rPr>
        <w:t>人，特殊教育</w:t>
      </w: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人。</w:t>
      </w:r>
    </w:p>
    <w:p w14:paraId="43D409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二、2025年部门预算收支及增减变化情况说明</w:t>
      </w:r>
    </w:p>
    <w:p w14:paraId="4A9F771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8852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2025年收入预算</w:t>
      </w:r>
      <w:r>
        <w:rPr>
          <w:rFonts w:hint="eastAsia" w:ascii="仿宋" w:hAnsi="仿宋" w:eastAsia="仿宋"/>
          <w:color w:val="000000"/>
          <w:sz w:val="32"/>
          <w:szCs w:val="32"/>
          <w:lang w:val="en-US" w:eastAsia="zh-CN"/>
        </w:rPr>
        <w:t>33087.29</w:t>
      </w:r>
      <w:r>
        <w:rPr>
          <w:rFonts w:hint="eastAsia" w:ascii="仿宋" w:hAnsi="仿宋" w:eastAsia="仿宋"/>
          <w:color w:val="000000"/>
          <w:sz w:val="32"/>
          <w:szCs w:val="32"/>
        </w:rPr>
        <w:t>万元，比2024年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30488.05</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2599.24</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8.53</w:t>
      </w:r>
      <w:r>
        <w:rPr>
          <w:rFonts w:hint="eastAsia" w:ascii="仿宋" w:hAnsi="仿宋" w:eastAsia="仿宋"/>
          <w:color w:val="000000"/>
          <w:sz w:val="32"/>
          <w:szCs w:val="32"/>
        </w:rPr>
        <w:t>%，主要原因是</w:t>
      </w:r>
      <w:r>
        <w:rPr>
          <w:rFonts w:hint="eastAsia" w:ascii="仿宋" w:hAnsi="仿宋" w:eastAsia="仿宋"/>
          <w:color w:val="auto"/>
          <w:sz w:val="32"/>
          <w:szCs w:val="32"/>
        </w:rPr>
        <w:t>教师人数和学生人数增加，相关人员经费</w:t>
      </w:r>
      <w:r>
        <w:rPr>
          <w:rFonts w:hint="eastAsia" w:ascii="仿宋" w:hAnsi="仿宋" w:eastAsia="仿宋"/>
          <w:color w:val="auto"/>
          <w:sz w:val="32"/>
          <w:szCs w:val="32"/>
          <w:lang w:eastAsia="zh-CN"/>
        </w:rPr>
        <w:t>、</w:t>
      </w:r>
      <w:r>
        <w:rPr>
          <w:rFonts w:hint="eastAsia" w:ascii="仿宋" w:hAnsi="仿宋" w:eastAsia="仿宋"/>
          <w:color w:val="auto"/>
          <w:sz w:val="32"/>
          <w:szCs w:val="32"/>
        </w:rPr>
        <w:t>公用经费</w:t>
      </w:r>
      <w:r>
        <w:rPr>
          <w:rFonts w:hint="eastAsia" w:ascii="仿宋" w:hAnsi="仿宋" w:eastAsia="仿宋"/>
          <w:color w:val="auto"/>
          <w:sz w:val="32"/>
          <w:szCs w:val="32"/>
          <w:lang w:val="en-US" w:eastAsia="zh-CN"/>
        </w:rPr>
        <w:t>有所</w:t>
      </w:r>
      <w:r>
        <w:rPr>
          <w:rFonts w:hint="eastAsia" w:ascii="仿宋" w:hAnsi="仿宋" w:eastAsia="仿宋"/>
          <w:color w:val="auto"/>
          <w:sz w:val="32"/>
          <w:szCs w:val="32"/>
        </w:rPr>
        <w:t>增加</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30944.01</w:t>
      </w:r>
      <w:r>
        <w:rPr>
          <w:rFonts w:hint="eastAsia" w:ascii="仿宋" w:hAnsi="仿宋" w:eastAsia="仿宋"/>
          <w:color w:val="000000"/>
          <w:sz w:val="32"/>
          <w:szCs w:val="32"/>
        </w:rPr>
        <w:t>万元，比2024年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28302.03</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2691.97</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9.51</w:t>
      </w:r>
      <w:r>
        <w:rPr>
          <w:rFonts w:hint="eastAsia" w:ascii="仿宋" w:hAnsi="仿宋" w:eastAsia="仿宋"/>
          <w:color w:val="000000"/>
          <w:sz w:val="32"/>
          <w:szCs w:val="32"/>
        </w:rPr>
        <w:t>%。</w:t>
      </w:r>
    </w:p>
    <w:p w14:paraId="781AF3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84A21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2025年支出预算</w:t>
      </w:r>
      <w:r>
        <w:rPr>
          <w:rFonts w:hint="eastAsia" w:ascii="仿宋" w:hAnsi="仿宋" w:eastAsia="仿宋"/>
          <w:color w:val="000000"/>
          <w:sz w:val="32"/>
          <w:szCs w:val="32"/>
          <w:lang w:val="en-US" w:eastAsia="zh-CN"/>
        </w:rPr>
        <w:t>33087.29</w:t>
      </w:r>
      <w:r>
        <w:rPr>
          <w:rFonts w:hint="eastAsia" w:ascii="仿宋" w:hAnsi="仿宋" w:eastAsia="仿宋"/>
          <w:color w:val="000000"/>
          <w:sz w:val="32"/>
          <w:szCs w:val="32"/>
        </w:rPr>
        <w:t>万元，比2024年年初预算万</w:t>
      </w:r>
      <w:r>
        <w:rPr>
          <w:rFonts w:hint="eastAsia" w:ascii="仿宋" w:hAnsi="仿宋" w:eastAsia="仿宋"/>
          <w:color w:val="000000"/>
          <w:sz w:val="32"/>
          <w:szCs w:val="32"/>
          <w:lang w:val="en-US" w:eastAsia="zh-CN"/>
        </w:rPr>
        <w:t>30488.05</w:t>
      </w:r>
      <w:r>
        <w:rPr>
          <w:rFonts w:hint="eastAsia" w:ascii="仿宋" w:hAnsi="仿宋" w:eastAsia="仿宋"/>
          <w:color w:val="000000"/>
          <w:sz w:val="32"/>
          <w:szCs w:val="32"/>
        </w:rPr>
        <w:t>元增加2599.24万元，增长</w:t>
      </w:r>
      <w:r>
        <w:rPr>
          <w:rFonts w:hint="eastAsia" w:ascii="仿宋" w:hAnsi="仿宋" w:eastAsia="仿宋"/>
          <w:color w:val="000000"/>
          <w:sz w:val="32"/>
          <w:szCs w:val="32"/>
          <w:lang w:val="en-US" w:eastAsia="zh-CN"/>
        </w:rPr>
        <w:t>8.53</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30994.01</w:t>
      </w:r>
      <w:r>
        <w:rPr>
          <w:rFonts w:hint="eastAsia" w:ascii="仿宋" w:hAnsi="仿宋" w:eastAsia="仿宋"/>
          <w:color w:val="000000"/>
          <w:sz w:val="32"/>
          <w:szCs w:val="32"/>
        </w:rPr>
        <w:t>万元，一般公共预算支出预算中：</w:t>
      </w:r>
    </w:p>
    <w:p w14:paraId="0CFC022D">
      <w:pPr>
        <w:tabs>
          <w:tab w:val="left" w:pos="1680"/>
        </w:tabs>
        <w:snapToGrid w:val="0"/>
        <w:spacing w:before="100" w:beforeAutospacing="1" w:after="100" w:afterAutospacing="1" w:line="560" w:lineRule="exact"/>
        <w:ind w:firstLine="640" w:firstLineChars="200"/>
        <w:contextualSpacing/>
        <w:rPr>
          <w:rFonts w:ascii="仿宋" w:hAnsi="仿宋" w:eastAsia="仿宋"/>
          <w:color w:val="auto"/>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25418.89</w:t>
      </w:r>
      <w:r>
        <w:rPr>
          <w:rFonts w:hint="eastAsia" w:ascii="仿宋" w:hAnsi="仿宋" w:eastAsia="仿宋"/>
          <w:color w:val="000000"/>
          <w:sz w:val="32"/>
          <w:szCs w:val="32"/>
        </w:rPr>
        <w:t>万元，比2024年</w:t>
      </w:r>
      <w:r>
        <w:rPr>
          <w:rFonts w:hint="eastAsia" w:ascii="仿宋" w:hAnsi="仿宋" w:eastAsia="仿宋"/>
          <w:color w:val="000000"/>
          <w:sz w:val="32"/>
          <w:szCs w:val="32"/>
          <w:lang w:val="en-US" w:eastAsia="zh-CN"/>
        </w:rPr>
        <w:t>25049.15</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369.74</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1.48</w:t>
      </w:r>
      <w:r>
        <w:rPr>
          <w:rFonts w:hint="eastAsia" w:ascii="仿宋" w:hAnsi="仿宋" w:eastAsia="仿宋"/>
          <w:color w:val="000000"/>
          <w:sz w:val="32"/>
          <w:szCs w:val="32"/>
        </w:rPr>
        <w:t>%，主要原因是</w:t>
      </w:r>
      <w:r>
        <w:rPr>
          <w:rFonts w:hint="eastAsia" w:ascii="仿宋" w:hAnsi="仿宋" w:eastAsia="仿宋"/>
          <w:color w:val="auto"/>
          <w:sz w:val="32"/>
          <w:szCs w:val="32"/>
        </w:rPr>
        <w:t>教师人数和学生人数增加，相关人员经费</w:t>
      </w:r>
      <w:r>
        <w:rPr>
          <w:rFonts w:hint="eastAsia" w:ascii="仿宋" w:hAnsi="仿宋" w:eastAsia="仿宋"/>
          <w:color w:val="auto"/>
          <w:sz w:val="32"/>
          <w:szCs w:val="32"/>
          <w:lang w:eastAsia="zh-CN"/>
        </w:rPr>
        <w:t>、</w:t>
      </w:r>
      <w:r>
        <w:rPr>
          <w:rFonts w:hint="eastAsia" w:ascii="仿宋" w:hAnsi="仿宋" w:eastAsia="仿宋"/>
          <w:color w:val="auto"/>
          <w:sz w:val="32"/>
          <w:szCs w:val="32"/>
        </w:rPr>
        <w:t>公用经费</w:t>
      </w:r>
      <w:r>
        <w:rPr>
          <w:rFonts w:hint="eastAsia" w:ascii="仿宋" w:hAnsi="仿宋" w:eastAsia="仿宋"/>
          <w:color w:val="auto"/>
          <w:sz w:val="32"/>
          <w:szCs w:val="32"/>
          <w:lang w:val="en-US" w:eastAsia="zh-CN"/>
        </w:rPr>
        <w:t>有所</w:t>
      </w:r>
      <w:r>
        <w:rPr>
          <w:rFonts w:hint="eastAsia" w:ascii="仿宋" w:hAnsi="仿宋" w:eastAsia="仿宋"/>
          <w:color w:val="auto"/>
          <w:sz w:val="32"/>
          <w:szCs w:val="32"/>
        </w:rPr>
        <w:t>增加。</w:t>
      </w:r>
    </w:p>
    <w:p w14:paraId="5ED00C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5572.15</w:t>
      </w:r>
      <w:r>
        <w:rPr>
          <w:rFonts w:hint="eastAsia" w:ascii="仿宋" w:hAnsi="仿宋" w:eastAsia="仿宋"/>
          <w:color w:val="000000"/>
          <w:sz w:val="32"/>
          <w:szCs w:val="32"/>
        </w:rPr>
        <w:t>万元，比2024年</w:t>
      </w:r>
      <w:r>
        <w:rPr>
          <w:rFonts w:hint="eastAsia" w:ascii="仿宋" w:hAnsi="仿宋" w:eastAsia="仿宋"/>
          <w:color w:val="000000"/>
          <w:sz w:val="32"/>
          <w:szCs w:val="32"/>
          <w:lang w:val="en-US" w:eastAsia="zh-CN"/>
        </w:rPr>
        <w:t>3252.89</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2322.24</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71.39</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设备更新增长约240万元、修缮类增长723.32万元、国际部运行经费增长约267.3万元、外聘人员经费增长约327万元、合作办学经费项目增长760万元</w:t>
      </w:r>
      <w:r>
        <w:rPr>
          <w:rFonts w:hint="eastAsia" w:ascii="仿宋" w:hAnsi="仿宋" w:eastAsia="仿宋"/>
          <w:color w:val="000000"/>
          <w:sz w:val="32"/>
          <w:szCs w:val="32"/>
        </w:rPr>
        <w:t>。</w:t>
      </w:r>
    </w:p>
    <w:p w14:paraId="67668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C5E089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（一）基本支出主要包括在职、离退休人员支出、个人和家庭补助支出、公用支出。</w:t>
      </w:r>
    </w:p>
    <w:p w14:paraId="12574E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（二）项目支出主要包括校园保障经费、日常运维经费、设备</w:t>
      </w:r>
      <w:r>
        <w:rPr>
          <w:rFonts w:hint="eastAsia" w:ascii="仿宋" w:hAnsi="仿宋" w:eastAsia="仿宋"/>
          <w:color w:val="000000"/>
          <w:sz w:val="32"/>
          <w:szCs w:val="32"/>
          <w:lang w:val="en-US" w:eastAsia="zh-CN"/>
        </w:rPr>
        <w:t>更新</w:t>
      </w:r>
      <w:r>
        <w:rPr>
          <w:rFonts w:hint="eastAsia" w:ascii="仿宋" w:hAnsi="仿宋" w:eastAsia="仿宋"/>
          <w:color w:val="000000"/>
          <w:sz w:val="32"/>
          <w:szCs w:val="32"/>
        </w:rPr>
        <w:t>、</w:t>
      </w:r>
      <w:r>
        <w:rPr>
          <w:rFonts w:hint="eastAsia" w:ascii="仿宋" w:hAnsi="仿宋" w:eastAsia="仿宋"/>
          <w:color w:val="000000"/>
          <w:sz w:val="32"/>
          <w:szCs w:val="32"/>
          <w:lang w:val="en-US" w:eastAsia="zh-CN"/>
        </w:rPr>
        <w:t>修缮经费、</w:t>
      </w:r>
      <w:r>
        <w:rPr>
          <w:rFonts w:hint="eastAsia" w:ascii="仿宋" w:hAnsi="仿宋" w:eastAsia="仿宋"/>
          <w:color w:val="000000"/>
          <w:sz w:val="32"/>
          <w:szCs w:val="32"/>
        </w:rPr>
        <w:t>资助、办公用房租金、中小学生实践活动等。</w:t>
      </w:r>
    </w:p>
    <w:p w14:paraId="6A20D8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10DC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（一）“三公经费”的单位范围</w:t>
      </w:r>
    </w:p>
    <w:p w14:paraId="66F4A5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281F70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（二）“三公经费”财政拨款情况说明</w:t>
      </w:r>
      <w:bookmarkStart w:id="0" w:name="biaoti"/>
    </w:p>
    <w:p w14:paraId="5EEFEC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》的规定执行。2025年部门预算“三公”经费一般公共预算</w:t>
      </w:r>
      <w:r>
        <w:rPr>
          <w:rFonts w:hint="eastAsia" w:ascii="仿宋" w:hAnsi="仿宋" w:eastAsia="仿宋"/>
          <w:color w:val="000000"/>
          <w:sz w:val="32"/>
          <w:szCs w:val="32"/>
          <w:lang w:val="en-US" w:eastAsia="zh-CN"/>
        </w:rPr>
        <w:t>3.6</w:t>
      </w:r>
      <w:r>
        <w:rPr>
          <w:rFonts w:hint="eastAsia" w:ascii="仿宋" w:hAnsi="仿宋" w:eastAsia="仿宋"/>
          <w:color w:val="000000"/>
          <w:sz w:val="32"/>
          <w:szCs w:val="32"/>
        </w:rPr>
        <w:t>万元，较2024年年初预算</w:t>
      </w:r>
      <w:r>
        <w:rPr>
          <w:rFonts w:hint="eastAsia" w:ascii="仿宋" w:hAnsi="仿宋" w:eastAsia="仿宋"/>
          <w:color w:val="000000"/>
          <w:sz w:val="32"/>
          <w:szCs w:val="32"/>
          <w:lang w:val="en-US" w:eastAsia="zh-CN"/>
        </w:rPr>
        <w:t>5.4</w:t>
      </w:r>
      <w:r>
        <w:rPr>
          <w:rFonts w:hint="eastAsia" w:ascii="仿宋" w:hAnsi="仿宋" w:eastAsia="仿宋"/>
          <w:color w:val="000000"/>
          <w:sz w:val="32"/>
          <w:szCs w:val="32"/>
        </w:rPr>
        <w:t>万元增加/减少</w:t>
      </w:r>
      <w:r>
        <w:rPr>
          <w:rFonts w:hint="eastAsia" w:ascii="仿宋" w:hAnsi="仿宋" w:eastAsia="仿宋"/>
          <w:color w:val="000000"/>
          <w:sz w:val="32"/>
          <w:szCs w:val="32"/>
          <w:lang w:val="en-US" w:eastAsia="zh-CN"/>
        </w:rPr>
        <w:t>1.8</w:t>
      </w:r>
      <w:r>
        <w:rPr>
          <w:rFonts w:hint="eastAsia" w:ascii="仿宋" w:hAnsi="仿宋" w:eastAsia="仿宋"/>
          <w:color w:val="000000"/>
          <w:sz w:val="32"/>
          <w:szCs w:val="32"/>
        </w:rPr>
        <w:t>万元，主要原因是</w:t>
      </w:r>
      <w:r>
        <w:rPr>
          <w:rFonts w:hint="eastAsia" w:ascii="仿宋" w:hAnsi="仿宋" w:eastAsia="仿宋"/>
          <w:color w:val="000000"/>
          <w:sz w:val="32"/>
          <w:szCs w:val="32"/>
          <w:lang w:val="en-US" w:eastAsia="zh-CN"/>
        </w:rPr>
        <w:t>落实财政过紧日子的相关要求，压减公务用车运行及维护费。</w:t>
      </w:r>
    </w:p>
    <w:p w14:paraId="355BE2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1.因公出国（境）费：2025年</w:t>
      </w:r>
      <w:r>
        <w:rPr>
          <w:rFonts w:hint="eastAsia" w:ascii="仿宋" w:hAnsi="仿宋" w:eastAsia="仿宋"/>
          <w:sz w:val="32"/>
          <w:szCs w:val="32"/>
        </w:rPr>
        <w:t>一般公共预算</w:t>
      </w:r>
      <w:r>
        <w:rPr>
          <w:rFonts w:hint="eastAsia" w:ascii="仿宋" w:hAnsi="仿宋" w:eastAsia="仿宋"/>
          <w:color w:val="000000"/>
          <w:sz w:val="32"/>
          <w:szCs w:val="32"/>
        </w:rPr>
        <w:t>0万元，与2024年一致。</w:t>
      </w:r>
    </w:p>
    <w:p w14:paraId="21041F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2.公务接待费：2025年</w:t>
      </w:r>
      <w:r>
        <w:rPr>
          <w:rFonts w:hint="eastAsia" w:ascii="仿宋" w:hAnsi="仿宋" w:eastAsia="仿宋"/>
          <w:sz w:val="32"/>
          <w:szCs w:val="32"/>
        </w:rPr>
        <w:t>一般公共预算</w:t>
      </w:r>
      <w:r>
        <w:rPr>
          <w:rFonts w:hint="eastAsia" w:ascii="仿宋" w:hAnsi="仿宋" w:eastAsia="仿宋"/>
          <w:color w:val="000000"/>
          <w:sz w:val="32"/>
          <w:szCs w:val="32"/>
        </w:rPr>
        <w:t>0万元，与2024年一致。</w:t>
      </w:r>
    </w:p>
    <w:p w14:paraId="051ED13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2025年公务用车一般公共预算数量为</w:t>
      </w:r>
      <w:r>
        <w:rPr>
          <w:rFonts w:hint="eastAsia" w:ascii="仿宋" w:hAnsi="仿宋" w:eastAsia="仿宋"/>
          <w:color w:val="000000"/>
          <w:sz w:val="32"/>
          <w:szCs w:val="32"/>
          <w:lang w:val="en-US" w:eastAsia="zh-CN"/>
        </w:rPr>
        <w:t>2</w:t>
      </w:r>
      <w:r>
        <w:rPr>
          <w:rFonts w:hint="eastAsia" w:ascii="仿宋" w:hAnsi="仿宋" w:eastAsia="仿宋"/>
          <w:sz w:val="32"/>
          <w:szCs w:val="32"/>
        </w:rPr>
        <w:t>辆，与2024年一致。2025年公务用车购置及运行维护费一般公共预算</w:t>
      </w:r>
      <w:r>
        <w:rPr>
          <w:rFonts w:hint="eastAsia" w:ascii="仿宋" w:hAnsi="仿宋" w:eastAsia="仿宋"/>
          <w:color w:val="000000"/>
          <w:sz w:val="32"/>
          <w:szCs w:val="32"/>
          <w:lang w:val="en-US" w:eastAsia="zh-CN"/>
        </w:rPr>
        <w:t>3.6</w:t>
      </w:r>
      <w:r>
        <w:rPr>
          <w:rFonts w:hint="eastAsia" w:ascii="仿宋" w:hAnsi="仿宋" w:eastAsia="仿宋"/>
          <w:color w:val="000000"/>
          <w:sz w:val="32"/>
          <w:szCs w:val="32"/>
        </w:rPr>
        <w:t>万</w:t>
      </w:r>
      <w:r>
        <w:rPr>
          <w:rFonts w:hint="eastAsia" w:ascii="仿宋" w:hAnsi="仿宋" w:eastAsia="仿宋"/>
          <w:sz w:val="32"/>
          <w:szCs w:val="32"/>
        </w:rPr>
        <w:t>元，与2024年公务用车购置及运行维护费一般公共预算相比减少</w:t>
      </w:r>
      <w:r>
        <w:rPr>
          <w:rFonts w:hint="eastAsia" w:ascii="仿宋" w:hAnsi="仿宋" w:eastAsia="仿宋"/>
          <w:sz w:val="32"/>
          <w:szCs w:val="32"/>
          <w:lang w:val="en-US" w:eastAsia="zh-CN"/>
        </w:rPr>
        <w:t>1.8万元</w:t>
      </w:r>
      <w:r>
        <w:rPr>
          <w:rFonts w:hint="eastAsia" w:ascii="仿宋" w:hAnsi="仿宋" w:eastAsia="仿宋"/>
          <w:sz w:val="32"/>
          <w:szCs w:val="32"/>
        </w:rPr>
        <w:t>，其中公务用车购置费0</w:t>
      </w:r>
      <w:r>
        <w:rPr>
          <w:rFonts w:hint="eastAsia" w:ascii="仿宋" w:hAnsi="仿宋" w:eastAsia="仿宋"/>
          <w:color w:val="000000"/>
          <w:sz w:val="32"/>
          <w:szCs w:val="32"/>
        </w:rPr>
        <w:t>万</w:t>
      </w:r>
      <w:r>
        <w:rPr>
          <w:rFonts w:hint="eastAsia" w:ascii="仿宋" w:hAnsi="仿宋" w:eastAsia="仿宋"/>
          <w:sz w:val="32"/>
          <w:szCs w:val="32"/>
        </w:rPr>
        <w:t>元，与2024年公务用车购置费一致。2025年公务用车运行维护费</w:t>
      </w:r>
      <w:r>
        <w:rPr>
          <w:rFonts w:hint="eastAsia" w:ascii="仿宋" w:hAnsi="仿宋" w:eastAsia="仿宋"/>
          <w:sz w:val="32"/>
          <w:szCs w:val="32"/>
          <w:lang w:val="en-US" w:eastAsia="zh-CN"/>
        </w:rPr>
        <w:t>3.6</w:t>
      </w:r>
      <w:r>
        <w:rPr>
          <w:rFonts w:hint="eastAsia" w:ascii="仿宋" w:hAnsi="仿宋" w:eastAsia="仿宋"/>
          <w:color w:val="000000"/>
          <w:sz w:val="32"/>
          <w:szCs w:val="32"/>
        </w:rPr>
        <w:t>万</w:t>
      </w:r>
      <w:r>
        <w:rPr>
          <w:rFonts w:hint="eastAsia" w:ascii="仿宋" w:hAnsi="仿宋" w:eastAsia="仿宋"/>
          <w:sz w:val="32"/>
          <w:szCs w:val="32"/>
        </w:rPr>
        <w:t>元，较2024年公务用车运行维护费</w:t>
      </w:r>
      <w:r>
        <w:rPr>
          <w:rFonts w:hint="eastAsia" w:ascii="仿宋" w:hAnsi="仿宋" w:eastAsia="仿宋"/>
          <w:color w:val="000000"/>
          <w:sz w:val="32"/>
          <w:szCs w:val="32"/>
        </w:rPr>
        <w:t>减少</w:t>
      </w:r>
      <w:r>
        <w:rPr>
          <w:rFonts w:hint="eastAsia" w:ascii="仿宋" w:hAnsi="仿宋" w:eastAsia="仿宋"/>
          <w:color w:val="000000"/>
          <w:sz w:val="32"/>
          <w:szCs w:val="32"/>
          <w:lang w:val="en-US" w:eastAsia="zh-CN"/>
        </w:rPr>
        <w:t>1.8</w:t>
      </w:r>
      <w:r>
        <w:rPr>
          <w:rFonts w:hint="eastAsia" w:ascii="仿宋" w:hAnsi="仿宋" w:eastAsia="仿宋"/>
          <w:color w:val="000000"/>
          <w:sz w:val="32"/>
          <w:szCs w:val="32"/>
        </w:rPr>
        <w:t>万元，</w:t>
      </w:r>
      <w:r>
        <w:rPr>
          <w:rFonts w:ascii="仿宋" w:hAnsi="仿宋" w:eastAsia="仿宋"/>
          <w:color w:val="000000"/>
          <w:sz w:val="32"/>
          <w:szCs w:val="32"/>
        </w:rPr>
        <w:t>主要原因是</w:t>
      </w:r>
      <w:r>
        <w:rPr>
          <w:rFonts w:hint="eastAsia" w:ascii="仿宋" w:hAnsi="仿宋" w:eastAsia="仿宋"/>
          <w:color w:val="000000"/>
          <w:sz w:val="32"/>
          <w:szCs w:val="32"/>
        </w:rPr>
        <w:t>结合财政过紧日子措施相</w:t>
      </w:r>
      <w:bookmarkStart w:id="1" w:name="_GoBack"/>
      <w:bookmarkEnd w:id="1"/>
      <w:r>
        <w:rPr>
          <w:rFonts w:hint="eastAsia" w:ascii="仿宋" w:hAnsi="仿宋" w:eastAsia="仿宋"/>
          <w:color w:val="000000"/>
          <w:sz w:val="32"/>
          <w:szCs w:val="32"/>
        </w:rPr>
        <w:t>关要求，压减公务用车运行及维护费</w:t>
      </w:r>
      <w:r>
        <w:rPr>
          <w:rFonts w:hint="eastAsia" w:ascii="仿宋" w:hAnsi="仿宋" w:eastAsia="仿宋"/>
          <w:sz w:val="32"/>
          <w:szCs w:val="32"/>
        </w:rPr>
        <w:t>。</w:t>
      </w:r>
    </w:p>
    <w:p w14:paraId="363D7E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0354B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7AE55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6254F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613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2025年涉及政府采购项目预算资金1,866.53万元。</w:t>
      </w:r>
    </w:p>
    <w:p w14:paraId="0DB51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80A4C3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3E19FEC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50897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2025年预算填报项目申报表的项目</w:t>
      </w:r>
      <w:r>
        <w:rPr>
          <w:rFonts w:hint="eastAsia" w:ascii="仿宋" w:hAnsi="仿宋" w:eastAsia="仿宋"/>
          <w:color w:val="000000"/>
          <w:sz w:val="32"/>
          <w:szCs w:val="32"/>
          <w:lang w:val="en-US" w:eastAsia="zh-CN"/>
        </w:rPr>
        <w:t>49</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21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6847.15</w:t>
      </w:r>
      <w:r>
        <w:rPr>
          <w:rFonts w:hint="eastAsia" w:ascii="仿宋" w:hAnsi="仿宋" w:eastAsia="仿宋"/>
          <w:color w:val="000000"/>
          <w:sz w:val="32"/>
          <w:szCs w:val="32"/>
        </w:rPr>
        <w:t>万元。</w:t>
      </w:r>
    </w:p>
    <w:p w14:paraId="5AB74EC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5564E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B165F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4680FD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2024年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18503.34</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车辆2台，30.84万元；单位价值100万元以上设备2台（套）、436.01万元。</w:t>
      </w:r>
    </w:p>
    <w:p w14:paraId="51C385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4E800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5F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99E31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21DC5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CAD9C37-A38F-4016-82F9-E5551F9399C2}"/>
  </w:font>
  <w:font w:name="方正小标宋简体">
    <w:panose1 w:val="02000000000000000000"/>
    <w:charset w:val="86"/>
    <w:family w:val="script"/>
    <w:pitch w:val="default"/>
    <w:sig w:usb0="00000001" w:usb1="08000000" w:usb2="00000000" w:usb3="00000000" w:csb0="00040000" w:csb1="00000000"/>
    <w:embedRegular r:id="rId2" w:fontKey="{A9A67548-A36D-40B1-87CA-32730E81C58A}"/>
  </w:font>
  <w:font w:name="仿宋_GB2312">
    <w:altName w:val="仿宋"/>
    <w:panose1 w:val="00000000000000000000"/>
    <w:charset w:val="86"/>
    <w:family w:val="modern"/>
    <w:pitch w:val="default"/>
    <w:sig w:usb0="00000000" w:usb1="00000000" w:usb2="00000010" w:usb3="00000000" w:csb0="00040000" w:csb1="00000000"/>
    <w:embedRegular r:id="rId3" w:fontKey="{C9683426-9A0A-4444-9A22-62713F3545E0}"/>
  </w:font>
  <w:font w:name="仿宋">
    <w:panose1 w:val="02010609060101010101"/>
    <w:charset w:val="86"/>
    <w:family w:val="modern"/>
    <w:pitch w:val="default"/>
    <w:sig w:usb0="800002BF" w:usb1="38CF7CFA" w:usb2="00000016" w:usb3="00000000" w:csb0="00040001" w:csb1="00000000"/>
    <w:embedRegular r:id="rId4" w:fontKey="{5897526B-61E9-499F-BF38-39414CD11BD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0E7C6F4">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36C866B8">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A51DB"/>
    <w:multiLevelType w:val="multilevel"/>
    <w:tmpl w:val="59CA51DB"/>
    <w:lvl w:ilvl="0" w:tentative="0">
      <w:start w:val="1"/>
      <w:numFmt w:val="decimal"/>
      <w:lvlText w:val="%1."/>
      <w:lvlJc w:val="left"/>
      <w:pPr>
        <w:ind w:left="1069" w:hanging="36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5A84"/>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42C"/>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1C73"/>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6A4"/>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4C8A"/>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2C"/>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6900CE7"/>
    <w:rsid w:val="0A0124A3"/>
    <w:rsid w:val="5621502B"/>
    <w:rsid w:val="6497295D"/>
    <w:rsid w:val="68DF491C"/>
    <w:rsid w:val="7E724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2752</Words>
  <Characters>3054</Characters>
  <Lines>13</Lines>
  <Paragraphs>3</Paragraphs>
  <TotalTime>4</TotalTime>
  <ScaleCrop>false</ScaleCrop>
  <LinksUpToDate>false</LinksUpToDate>
  <CharactersWithSpaces>3061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dong</dc:creator>
  <cp:lastModifiedBy>dong</cp:lastModifiedBy>
  <dcterms:modified xsi:type="dcterms:W3CDTF">2025-01-16T05:09:49Z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eyJoZGlkIjoiMzZmNWRiNDBkN2QxMjMxNWM3Njk3MzU2NjExNGE1MDQiLCJ1c2VySWQiOiIyNTY5MDM3OTQifQ==</vt:lpwstr>
  </property>
  <property fmtid="{D5CDD505-2E9C-101B-9397-08002B2CF9AE}" pid="3" name="KSOProductBuildVer">
    <vt:lpwstr>2052-12.1.0.19770</vt:lpwstr>
  </property>
  <property fmtid="{D5CDD505-2E9C-101B-9397-08002B2CF9AE}" pid="4" name="ICV">
    <vt:lpwstr>4E583F703B334433AEA732ED149FDB42_13</vt:lpwstr>
  </property>
</Properties>
</file>